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Fire Risk Assessment: Landlord / HMO Variant</w:t>
      </w:r>
    </w:p>
    <w:p>
      <w:r>
        <w:t>For residential landlords and HMO operators. The Fire Safety Order 2005 applies to the common parts of buildings containing two or more sets of domestic premises, and the Fire Safety Act 2021 confirmed it covers the structure, external walls (including cladding and balconies) and flat entrance doors. HMOs are additionally licensed under the Housing Act 2004 and must meet fire safety conditions set by the local authority.</w:t>
      </w:r>
    </w:p>
    <w:p>
      <w:pPr>
        <w:pStyle w:val="Heading1"/>
      </w:pPr>
      <w:r>
        <w:t>1. Property and responsible person</w:t>
      </w:r>
    </w:p>
    <w:p>
      <w:r>
        <w:t>Property address: ______________________________</w:t>
      </w:r>
    </w:p>
    <w:p>
      <w:r>
        <w:t>Property type (house / flats / licensed HMO): ______________________________</w:t>
      </w:r>
    </w:p>
    <w:p>
      <w:r>
        <w:t>Number of storeys / number of lettings / max occupants: ______________________________</w:t>
      </w:r>
    </w:p>
    <w:p>
      <w:r>
        <w:t>HMO licence number and expiry (if applicable): ______________________________</w:t>
      </w:r>
    </w:p>
    <w:p>
      <w:r>
        <w:t>Responsible person (landlord / agent): ______________________________</w:t>
      </w:r>
    </w:p>
    <w:p>
      <w:r>
        <w:t>Assessor and date: ______________________________</w:t>
      </w:r>
    </w:p>
    <w:p>
      <w:r>
        <w:t>Review date: ______________________________</w:t>
      </w:r>
    </w:p>
    <w:p>
      <w:pPr>
        <w:pStyle w:val="Heading1"/>
      </w:pPr>
      <w:r>
        <w:t>2. Occupants at risk</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Tenants (note anyone with mobility or sensory impairment)</w:t>
            </w:r>
          </w:p>
        </w:tc>
        <w:tc>
          <w:tcPr>
            <w:tcW w:type="dxa" w:w="5213"/>
          </w:tcPr>
          <w:p/>
        </w:tc>
      </w:tr>
      <w:tr>
        <w:tc>
          <w:tcPr>
            <w:tcW w:type="dxa" w:w="5213"/>
          </w:tcPr>
          <w:p>
            <w:r>
              <w:t>Children and elderly occupants</w:t>
            </w:r>
          </w:p>
        </w:tc>
        <w:tc>
          <w:tcPr>
            <w:tcW w:type="dxa" w:w="5213"/>
          </w:tcPr>
          <w:p/>
        </w:tc>
      </w:tr>
      <w:tr>
        <w:tc>
          <w:tcPr>
            <w:tcW w:type="dxa" w:w="5213"/>
          </w:tcPr>
          <w:p>
            <w:r>
              <w:t>Visitors and trades</w:t>
            </w:r>
          </w:p>
        </w:tc>
        <w:tc>
          <w:tcPr>
            <w:tcW w:type="dxa" w:w="5213"/>
          </w:tcPr>
          <w:p/>
        </w:tc>
      </w:tr>
      <w:tr>
        <w:tc>
          <w:tcPr>
            <w:tcW w:type="dxa" w:w="5213"/>
          </w:tcPr>
          <w:p>
            <w:r>
              <w:t>Sleeping risk (always yes in residential): night-time detection and escape considered</w:t>
            </w:r>
          </w:p>
        </w:tc>
        <w:tc>
          <w:tcPr>
            <w:tcW w:type="dxa" w:w="5213"/>
          </w:tcPr>
          <w:p/>
        </w:tc>
      </w:tr>
    </w:tbl>
    <w:p/>
    <w:p>
      <w:pPr>
        <w:pStyle w:val="Heading1"/>
      </w:pPr>
      <w:r>
        <w:t>3. Fire hazards</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Kitchens and cooking (shared kitchens in HMOs are the leading risk)</w:t>
            </w:r>
          </w:p>
        </w:tc>
        <w:tc>
          <w:tcPr>
            <w:tcW w:type="dxa" w:w="5213"/>
          </w:tcPr>
          <w:p/>
        </w:tc>
      </w:tr>
      <w:tr>
        <w:tc>
          <w:tcPr>
            <w:tcW w:type="dxa" w:w="5213"/>
          </w:tcPr>
          <w:p>
            <w:r>
              <w:t>Electrical installation (EICR within 5 years) and tenant appliances</w:t>
            </w:r>
          </w:p>
        </w:tc>
        <w:tc>
          <w:tcPr>
            <w:tcW w:type="dxa" w:w="5213"/>
          </w:tcPr>
          <w:p/>
        </w:tc>
      </w:tr>
      <w:tr>
        <w:tc>
          <w:tcPr>
            <w:tcW w:type="dxa" w:w="5213"/>
          </w:tcPr>
          <w:p>
            <w:r>
              <w:t>Smoking in the property</w:t>
            </w:r>
          </w:p>
        </w:tc>
        <w:tc>
          <w:tcPr>
            <w:tcW w:type="dxa" w:w="5213"/>
          </w:tcPr>
          <w:p/>
        </w:tc>
      </w:tr>
      <w:tr>
        <w:tc>
          <w:tcPr>
            <w:tcW w:type="dxa" w:w="5213"/>
          </w:tcPr>
          <w:p>
            <w:r>
              <w:t>Portable heaters and drying clothes on heaters</w:t>
            </w:r>
          </w:p>
        </w:tc>
        <w:tc>
          <w:tcPr>
            <w:tcW w:type="dxa" w:w="5213"/>
          </w:tcPr>
          <w:p/>
        </w:tc>
      </w:tr>
      <w:tr>
        <w:tc>
          <w:tcPr>
            <w:tcW w:type="dxa" w:w="5213"/>
          </w:tcPr>
          <w:p>
            <w:r>
              <w:t>E-bike and e-scooter battery charging in escape routes</w:t>
            </w:r>
          </w:p>
        </w:tc>
        <w:tc>
          <w:tcPr>
            <w:tcW w:type="dxa" w:w="5213"/>
          </w:tcPr>
          <w:p/>
        </w:tc>
      </w:tr>
      <w:tr>
        <w:tc>
          <w:tcPr>
            <w:tcW w:type="dxa" w:w="5213"/>
          </w:tcPr>
          <w:p>
            <w:r>
              <w:t>Storage and waste in common parts (should be zero)</w:t>
            </w:r>
          </w:p>
        </w:tc>
        <w:tc>
          <w:tcPr>
            <w:tcW w:type="dxa" w:w="5213"/>
          </w:tcPr>
          <w:p/>
        </w:tc>
      </w:tr>
      <w:tr>
        <w:tc>
          <w:tcPr>
            <w:tcW w:type="dxa" w:w="5213"/>
          </w:tcPr>
          <w:p>
            <w:r>
              <w:t>Arson risk to bins and external stores</w:t>
            </w:r>
          </w:p>
        </w:tc>
        <w:tc>
          <w:tcPr>
            <w:tcW w:type="dxa" w:w="5213"/>
          </w:tcPr>
          <w:p/>
        </w:tc>
      </w:tr>
    </w:tbl>
    <w:p/>
    <w:p>
      <w:pPr>
        <w:pStyle w:val="Heading1"/>
      </w:pPr>
      <w:r>
        <w:t>4. Means of escape (common parts and dwellings)</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Protected escape route from all floors to the final exit</w:t>
            </w:r>
          </w:p>
        </w:tc>
        <w:tc>
          <w:tcPr>
            <w:tcW w:type="dxa" w:w="5213"/>
          </w:tcPr>
          <w:p/>
        </w:tc>
      </w:tr>
      <w:tr>
        <w:tc>
          <w:tcPr>
            <w:tcW w:type="dxa" w:w="5213"/>
          </w:tcPr>
          <w:p>
            <w:r>
              <w:t>Common parts kept sterile: no storage, prams, bikes or mail build-up</w:t>
            </w:r>
          </w:p>
        </w:tc>
        <w:tc>
          <w:tcPr>
            <w:tcW w:type="dxa" w:w="5213"/>
          </w:tcPr>
          <w:p/>
        </w:tc>
      </w:tr>
      <w:tr>
        <w:tc>
          <w:tcPr>
            <w:tcW w:type="dxa" w:w="5213"/>
          </w:tcPr>
          <w:p>
            <w:r>
              <w:t>Fire doors to bedrooms/flats: FD30 minimum, self-closers working, no wedges</w:t>
            </w:r>
          </w:p>
        </w:tc>
        <w:tc>
          <w:tcPr>
            <w:tcW w:type="dxa" w:w="5213"/>
          </w:tcPr>
          <w:p/>
        </w:tc>
      </w:tr>
      <w:tr>
        <w:tc>
          <w:tcPr>
            <w:tcW w:type="dxa" w:w="5213"/>
          </w:tcPr>
          <w:p>
            <w:r>
              <w:t>Final exit openable without a key (thumbturn)</w:t>
            </w:r>
          </w:p>
        </w:tc>
        <w:tc>
          <w:tcPr>
            <w:tcW w:type="dxa" w:w="5213"/>
          </w:tcPr>
          <w:p/>
        </w:tc>
      </w:tr>
      <w:tr>
        <w:tc>
          <w:tcPr>
            <w:tcW w:type="dxa" w:w="5213"/>
          </w:tcPr>
          <w:p>
            <w:r>
              <w:t>Emergency lighting in common escape routes (multi-storey HMOs)</w:t>
            </w:r>
          </w:p>
        </w:tc>
        <w:tc>
          <w:tcPr>
            <w:tcW w:type="dxa" w:w="5213"/>
          </w:tcPr>
          <w:p/>
        </w:tc>
      </w:tr>
      <w:tr>
        <w:tc>
          <w:tcPr>
            <w:tcW w:type="dxa" w:w="5213"/>
          </w:tcPr>
          <w:p>
            <w:r>
              <w:t>Window escape acceptable only where guidance allows (low rise)</w:t>
            </w:r>
          </w:p>
        </w:tc>
        <w:tc>
          <w:tcPr>
            <w:tcW w:type="dxa" w:w="5213"/>
          </w:tcPr>
          <w:p/>
        </w:tc>
      </w:tr>
    </w:tbl>
    <w:p/>
    <w:p>
      <w:pPr>
        <w:pStyle w:val="Heading1"/>
      </w:pPr>
      <w:r>
        <w:t>5. Detection, alarm and fire-fighting</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Smoke alarms on every storey (Smoke and Carbon Monoxide Alarm Regulations 2015, as amended 2022)</w:t>
            </w:r>
          </w:p>
        </w:tc>
        <w:tc>
          <w:tcPr>
            <w:tcW w:type="dxa" w:w="5213"/>
          </w:tcPr>
          <w:p/>
        </w:tc>
      </w:tr>
      <w:tr>
        <w:tc>
          <w:tcPr>
            <w:tcW w:type="dxa" w:w="5213"/>
          </w:tcPr>
          <w:p>
            <w:r>
              <w:t>CO alarm in any room with a fixed combustion appliance</w:t>
            </w:r>
          </w:p>
        </w:tc>
        <w:tc>
          <w:tcPr>
            <w:tcW w:type="dxa" w:w="5213"/>
          </w:tcPr>
          <w:p/>
        </w:tc>
      </w:tr>
      <w:tr>
        <w:tc>
          <w:tcPr>
            <w:tcW w:type="dxa" w:w="5213"/>
          </w:tcPr>
          <w:p>
            <w:r>
              <w:t>Grade and coverage appropriate to the property (LACORS / BS 5839-6 guidance; interlinked mains alarms for HMOs)</w:t>
            </w:r>
          </w:p>
        </w:tc>
        <w:tc>
          <w:tcPr>
            <w:tcW w:type="dxa" w:w="5213"/>
          </w:tcPr>
          <w:p/>
        </w:tc>
      </w:tr>
      <w:tr>
        <w:tc>
          <w:tcPr>
            <w:tcW w:type="dxa" w:w="5213"/>
          </w:tcPr>
          <w:p>
            <w:r>
              <w:t>Heat detector in shared kitchens</w:t>
            </w:r>
          </w:p>
        </w:tc>
        <w:tc>
          <w:tcPr>
            <w:tcW w:type="dxa" w:w="5213"/>
          </w:tcPr>
          <w:p/>
        </w:tc>
      </w:tr>
      <w:tr>
        <w:tc>
          <w:tcPr>
            <w:tcW w:type="dxa" w:w="5213"/>
          </w:tcPr>
          <w:p>
            <w:r>
              <w:t>Alarm testing arrangements and tenant reporting route</w:t>
            </w:r>
          </w:p>
        </w:tc>
        <w:tc>
          <w:tcPr>
            <w:tcW w:type="dxa" w:w="5213"/>
          </w:tcPr>
          <w:p/>
        </w:tc>
      </w:tr>
      <w:tr>
        <w:tc>
          <w:tcPr>
            <w:tcW w:type="dxa" w:w="5213"/>
          </w:tcPr>
          <w:p>
            <w:r>
              <w:t>Fire blanket in shared kitchens; extinguishers where staff or the licence require them</w:t>
            </w:r>
          </w:p>
        </w:tc>
        <w:tc>
          <w:tcPr>
            <w:tcW w:type="dxa" w:w="5213"/>
          </w:tcPr>
          <w:p/>
        </w:tc>
      </w:tr>
    </w:tbl>
    <w:p/>
    <w:p>
      <w:pPr>
        <w:pStyle w:val="Heading1"/>
      </w:pPr>
      <w:r>
        <w:t>6. Management</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Tenant fire safety information given at move-in</w:t>
            </w:r>
          </w:p>
        </w:tc>
        <w:tc>
          <w:tcPr>
            <w:tcW w:type="dxa" w:w="5213"/>
          </w:tcPr>
          <w:p/>
        </w:tc>
      </w:tr>
      <w:tr>
        <w:tc>
          <w:tcPr>
            <w:tcW w:type="dxa" w:w="5213"/>
          </w:tcPr>
          <w:p>
            <w:r>
              <w:t>Periodic inspections of common parts logged</w:t>
            </w:r>
          </w:p>
        </w:tc>
        <w:tc>
          <w:tcPr>
            <w:tcW w:type="dxa" w:w="5213"/>
          </w:tcPr>
          <w:p/>
        </w:tc>
      </w:tr>
      <w:tr>
        <w:tc>
          <w:tcPr>
            <w:tcW w:type="dxa" w:w="5213"/>
          </w:tcPr>
          <w:p>
            <w:r>
              <w:t>Furniture in furnished lets meets the Furniture and Furnishings (Fire) (Safety) Regulations 1988</w:t>
            </w:r>
          </w:p>
        </w:tc>
        <w:tc>
          <w:tcPr>
            <w:tcW w:type="dxa" w:w="5213"/>
          </w:tcPr>
          <w:p/>
        </w:tc>
      </w:tr>
      <w:tr>
        <w:tc>
          <w:tcPr>
            <w:tcW w:type="dxa" w:w="5213"/>
          </w:tcPr>
          <w:p>
            <w:r>
              <w:t>Gas safety certificate annually; EICR five-yearly</w:t>
            </w:r>
          </w:p>
        </w:tc>
        <w:tc>
          <w:tcPr>
            <w:tcW w:type="dxa" w:w="5213"/>
          </w:tcPr>
          <w:p/>
        </w:tc>
      </w:tr>
      <w:tr>
        <w:tc>
          <w:tcPr>
            <w:tcW w:type="dxa" w:w="5213"/>
          </w:tcPr>
          <w:p>
            <w:r>
              <w:t>Records kept: this assessment, alarm tests, door checks, tenant notices</w:t>
            </w:r>
          </w:p>
        </w:tc>
        <w:tc>
          <w:tcPr>
            <w:tcW w:type="dxa" w:w="5213"/>
          </w:tcPr>
          <w:p/>
        </w:tc>
      </w:tr>
    </w:tbl>
    <w:p/>
    <w:p>
      <w:pPr>
        <w:pStyle w:val="Heading1"/>
      </w:pPr>
      <w:r>
        <w:t>7. Risk rating, action plan and sign-off</w:t>
      </w:r>
    </w:p>
    <w:p>
      <w:r>
        <w:t>Risk rating (circle one): TRIVIAL / TOLERABLE / MODERATE / SUBSTANTIAL / INTOLERABLE</w:t>
      </w:r>
    </w:p>
    <w:tbl>
      <w:tblPr>
        <w:tblStyle w:val="TableGrid"/>
        <w:tblW w:type="auto" w:w="0"/>
        <w:tblLook w:firstColumn="1" w:firstRow="1" w:lastColumn="0" w:lastRow="0" w:noHBand="0" w:noVBand="1" w:val="04A0"/>
      </w:tblPr>
      <w:tblGrid>
        <w:gridCol w:w="2085"/>
        <w:gridCol w:w="2085"/>
        <w:gridCol w:w="2085"/>
        <w:gridCol w:w="2085"/>
        <w:gridCol w:w="2085"/>
      </w:tblGrid>
      <w:tr>
        <w:tc>
          <w:tcPr>
            <w:tcW w:type="dxa" w:w="2085"/>
          </w:tcPr>
          <w:p>
            <w:r>
              <w:rPr>
                <w:b/>
              </w:rPr>
              <w:t>Finding</w:t>
            </w:r>
          </w:p>
        </w:tc>
        <w:tc>
          <w:tcPr>
            <w:tcW w:type="dxa" w:w="2085"/>
          </w:tcPr>
          <w:p>
            <w:r>
              <w:rPr>
                <w:b/>
              </w:rPr>
              <w:t>Priority (H/M/L)</w:t>
            </w:r>
          </w:p>
        </w:tc>
        <w:tc>
          <w:tcPr>
            <w:tcW w:type="dxa" w:w="2085"/>
          </w:tcPr>
          <w:p>
            <w:r>
              <w:rPr>
                <w:b/>
              </w:rPr>
              <w:t>Action required</w:t>
            </w:r>
          </w:p>
        </w:tc>
        <w:tc>
          <w:tcPr>
            <w:tcW w:type="dxa" w:w="2085"/>
          </w:tcPr>
          <w:p>
            <w:r>
              <w:rPr>
                <w:b/>
              </w:rPr>
              <w:t>Owner</w:t>
            </w:r>
          </w:p>
        </w:tc>
        <w:tc>
          <w:tcPr>
            <w:tcW w:type="dxa" w:w="2085"/>
          </w:tcPr>
          <w:p>
            <w:r>
              <w:rPr>
                <w:b/>
              </w:rPr>
              <w:t>Due date</w:t>
            </w: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bl>
    <w:p/>
    <w:p>
      <w:r>
        <w:t>Landlord / agent signature: ____________________    Date: ____ / ____ / ______</w:t>
      </w:r>
    </w:p>
    <w:p>
      <w:r>
        <w:rPr>
          <w:sz w:val="16"/>
        </w:rPr>
        <w:t>Built by Digital Adaption. Free download from https://digitaladaption.co.uk/downloads/fire-risk-assessment-template/ . Guidance references last checked: 15 July 2026.</w:t>
      </w:r>
    </w:p>
    <w:sectPr w:rsidR="00FC693F" w:rsidRPr="0006063C" w:rsidSect="00034616">
      <w:pgSz w:w="12240" w:h="15840"/>
      <w:pgMar w:top="1440" w:right="907" w:bottom="1440"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